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RISK </w:t>
      </w:r>
      <w:r>
        <w:rPr>
          <w:rFonts w:ascii="Times New Roman" w:hAnsi="Times New Roman" w:cs="Times New Roman" w:eastAsia="Times New Roman"/>
          <w:b/>
          <w:color w:val="000000"/>
          <w:spacing w:val="0"/>
          <w:position w:val="0"/>
          <w:sz w:val="95"/>
          <w:shd w:fill="auto" w:val="clear"/>
        </w:rPr>
        <w:t xml:space="preserve">DISCLOSURE</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RISK DISCLOSURE </w:t>
      </w:r>
    </w:p>
    <w:p>
      <w:pPr>
        <w:spacing w:before="336" w:after="0" w:line="254"/>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This Risk Disclosure is a disclosure by </w:t>
      </w:r>
      <w:r>
        <w:rPr>
          <w:rFonts w:ascii="Times" w:hAnsi="Times" w:cs="Times" w:eastAsia="Times"/>
          <w:b/>
          <w:color w:val="000000"/>
          <w:spacing w:val="0"/>
          <w:position w:val="0"/>
          <w:sz w:val="20"/>
          <w:shd w:fill="auto" w:val="clear"/>
        </w:rPr>
        <w:t xml:space="preserve">ACCESS CAPITAL MARKETS LIMITED </w:t>
      </w:r>
      <w:r>
        <w:rPr>
          <w:rFonts w:ascii="Times New Roman" w:hAnsi="Times New Roman" w:cs="Times New Roman" w:eastAsia="Times New Roman"/>
          <w:b/>
          <w:color w:val="000000"/>
          <w:spacing w:val="0"/>
          <w:position w:val="0"/>
          <w:sz w:val="20"/>
          <w:shd w:fill="FFFFFF" w:val="clear"/>
        </w:rPr>
        <w:t xml:space="preserve">Registration no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000000"/>
          <w:spacing w:val="0"/>
          <w:position w:val="0"/>
          <w:sz w:val="18"/>
          <w:shd w:fill="FFFFFF" w:val="clear"/>
        </w:rPr>
        <w:t xml:space="preserve">Broadgate Tower 201 Bishopsgate London EC2M 3AB United Kingdom</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0"/>
          <w:shd w:fill="auto" w:val="clear"/>
        </w:rPr>
        <w:t xml:space="preserve">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ofrisks and to help the Client to take investment decisions on an informed basis. </w:t>
      </w:r>
    </w:p>
    <w:p>
      <w:pPr>
        <w:spacing w:before="195" w:after="0" w:line="240"/>
        <w:ind w:right="0" w:left="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25.08.2020</w:t>
      </w:r>
    </w:p>
    <w:p>
      <w:pPr>
        <w:spacing w:before="534"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TRADING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The Company is not responsible for the Client’s losses sustained as a result of an incorrect trading strategy choice or his/her disregard of the rules of capital management.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Client acknowledges that the time of their trading requests execution can be elongated while abnormal market conditions. Hence, an order execution price may be worse than a stipulated price.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Some instruments may not become immediately liquid as a result of e.g. of reduced demand and the Client may not be in a position to sell them or easily obtain information on their price and extent of the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pPr>
        <w:spacing w:before="280" w:after="0" w:line="240"/>
        <w:ind w:right="0" w:left="2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 The Client should obtain details of all the charges for which the Client will be liable. </w:t>
      </w:r>
    </w:p>
    <w:p>
      <w:pPr>
        <w:spacing w:before="581"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TECHNICAL RISKS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The Client accepts the risk caused by software or telecommunications facilities failures as well as by other technical problems.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2.2. The Company is not responsible for the Client’s losses sustained due to nonobservance of instructions included in the client terminal user guide.</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2.3. The Client accepts the risk of executing unplanned trading transactions in the case of repeating an order before the last order processing results were received.</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0" w:after="0" w:line="258"/>
        <w:ind w:right="-4" w:left="1"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2.5. The Client realizes that the information en clair (sent via email, instant messenger service) is not protected from unauthorized access.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2.7. In case of bad connection between the client terminal and the server some of quotes may not reach the client terminal. The only reliable source of quotes is the server for clients with live accounts. </w:t>
      </w:r>
    </w:p>
    <w:p>
      <w:pPr>
        <w:spacing w:before="560"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FORCE MAJEURE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INTRODUCING CHANGES TO THE RISK DISCLOSURE </w:t>
      </w: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The Company reserves the right to review and/or amend the Risk Disclosure, at its sole discretion, so please re-read it regularly. If the Client continues to use the website services or visits it, they agree automatically with changes introduced to the Disclosure.</w:t>
      </w: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r>
        <w:object w:dxaOrig="3664" w:dyaOrig="992">
          <v:rect xmlns:o="urn:schemas-microsoft-com:office:office" xmlns:v="urn:schemas-microsoft-com:vml" id="rectole0000000000" style="width:183.2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